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Cs/>
          <w:color w:val="000000" w:themeColor="text1"/>
          <w:spacing w:val="1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pacing w:val="11"/>
          <w:sz w:val="28"/>
          <w:szCs w:val="28"/>
          <w14:textFill>
            <w14:solidFill>
              <w14:schemeClr w14:val="tx1"/>
            </w14:solidFill>
          </w14:textFill>
        </w:rPr>
        <w:t>宜君县十八届人大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一次会议文件（</w:t>
      </w:r>
      <w:r>
        <w:rPr>
          <w:rFonts w:hint="eastAsia" w:ascii="黑体" w:hAnsi="黑体" w:eastAsia="黑体" w:cs="黑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黑体" w:hAnsi="黑体" w:eastAsia="黑体" w:cs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 w:cs="华文中宋"/>
          <w:color w:val="000000" w:themeColor="text1"/>
          <w:kern w:val="44"/>
          <w:sz w:val="44"/>
          <w:szCs w:val="4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宜君县人民检察院</w:t>
      </w:r>
      <w:r>
        <w:rPr>
          <w:rFonts w:hint="eastAsia" w:ascii="方正小标宋简体" w:hAnsi="华文中宋" w:eastAsia="方正小标宋简体" w:cs="华文中宋"/>
          <w:color w:val="000000" w:themeColor="text1"/>
          <w:kern w:val="44"/>
          <w:sz w:val="44"/>
          <w:szCs w:val="44"/>
          <w14:textFill>
            <w14:solidFill>
              <w14:schemeClr w14:val="tx1"/>
            </w14:solidFill>
          </w14:textFill>
        </w:rPr>
        <w:t>工作报告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楷体_GB2312" w:hAnsi="楷体" w:eastAsia="楷体_GB2312" w:cs="楷体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——</w:t>
      </w:r>
      <w:r>
        <w:rPr>
          <w:rFonts w:hint="eastAsia" w:ascii="楷体_GB2312" w:hAnsi="楷体" w:eastAsia="楷体_GB2312" w:cs="楷体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楷体_GB2312" w:hAnsi="楷体" w:eastAsia="楷体_GB2312" w:cs="楷体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_GB2312" w:hAnsi="楷体" w:eastAsia="楷体_GB2312" w:cs="楷体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楷体_GB2312" w:hAnsi="楷体" w:eastAsia="楷体_GB2312" w:cs="楷体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楷体_GB2312" w:hAnsi="楷体" w:eastAsia="楷体_GB2312" w:cs="楷体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楷体_GB2312" w:hAnsi="楷体" w:eastAsia="楷体_GB2312" w:cs="楷体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楷体_GB2312" w:hAnsi="楷体" w:eastAsia="楷体_GB2312" w:cs="楷体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日在宜君县第十</w:t>
      </w:r>
      <w:r>
        <w:rPr>
          <w:rFonts w:hint="eastAsia" w:ascii="楷体_GB2312" w:hAnsi="楷体" w:eastAsia="楷体_GB2312" w:cs="楷体"/>
          <w:color w:val="000000" w:themeColor="text1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楷体_GB2312" w:hAnsi="楷体" w:eastAsia="楷体_GB2312" w:cs="楷体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届人民代表大会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楷体_GB2312" w:hAnsi="楷体" w:eastAsia="楷体_GB2312" w:cs="楷体"/>
          <w:color w:val="000000" w:themeColor="text1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_GB2312" w:hAnsi="楷体" w:eastAsia="楷体_GB2312" w:cs="楷体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次会议上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楷体_GB2312" w:eastAsia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"/>
          <w:bCs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宜君县人民检察院检察长  蔡顺安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华文中宋" w:hAnsi="华文中宋" w:eastAsia="华文中宋" w:cs="华文中宋"/>
          <w:b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" w:eastAsia="仿宋_GB2312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各位代表：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2"/>
        <w:jc w:val="left"/>
        <w:textAlignment w:val="auto"/>
        <w:rPr>
          <w:rFonts w:hint="eastAsia" w:ascii="仿宋_GB2312" w:hAnsi="仿宋" w:eastAsia="仿宋_GB2312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ascii="仿宋_GB2312" w:hAnsi="仿宋" w:eastAsia="仿宋_GB2312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我代表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县</w:t>
      </w:r>
      <w:r>
        <w:rPr>
          <w:rFonts w:ascii="仿宋_GB2312" w:hAnsi="仿宋" w:eastAsia="仿宋_GB2312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人民检察院向大会报告工作，请予审议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，并请政协委员和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其他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列席人员提出意见。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2"/>
        <w:jc w:val="left"/>
        <w:textAlignment w:val="auto"/>
        <w:rPr>
          <w:rFonts w:hint="eastAsia" w:ascii="仿宋_GB2312" w:hAnsi="仿宋" w:eastAsia="仿宋_GB2312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过去五年工作回顾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" w:eastAsia="仿宋_GB2312" w:cs="仿宋"/>
          <w:color w:val="000000" w:themeColor="text1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五年来，在县委和市检察院的坚强领导下，在县人大及其常委会的有力监督下，在县政府、县政协和社会各界的大力支持下，我院坚持以习近平新时代中国特色社会主义思想为指导，深入学习贯彻党的十九大和十九届历次全会精神，深入贯彻习近平法治思想，坚决贯彻县委决策部署，认真落实县人大及其常委会各项决议，紧紧围绕全县发展大局，守初心、担使命，狠抓根基基础、强化落实执行，以高度的政治自觉、法治自觉、检察自觉攻坚克难、忠实履行法律监督职责，为宜君经济社会高质量发展作出积极的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一、讲政治、顾大局，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奋力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筑牢思想政治根基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始终把讲政治放在首位，把顾大局体现在落实执行的具体行动上。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自觉在政治教育活动中筑牢队伍的根与魂。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坚持把学习贯彻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习近平新时代中国特色社会主义思想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作为首要政治任务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突出政治引领，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深入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开展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“不忘初心、牢记使命”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党史学习教育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等主题活动，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淬炼忠诚政治品格，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深刻认识“两个确立”的重要意义，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增强“四个意识”、坚定“四个自信”、坚决做到“两个维护”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。特别是在政法队伍教育整顿中，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综合施策，加强学习教育；严格对标，整治顽瘴痼疾；建章立制，加强队伍管理，检察队伍整体素质不断提高。积极推进检察理念变革、职能体系重构、内设机构改革，各项检察工作的质效持续提升。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自觉在重要工作任务中检验担当与作为。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根据中央统一部署，积极配合监察体制改革，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以高度的政治自觉，完成了反贪污贿赂、反渎职侵权、职务犯罪预防职能和人员的转隶工作，保障了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办案力量、办案装备以及案件线索顺利划转。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脱贫攻坚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工作中，坚决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做到县委有部署、检察有落实。紧紧围绕脱贫攻坚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和乡村振兴工作大局，强化帮扶责任落实，选派干警驻村开展工作，组织干部与17户困难群众结对帮扶，先后向帮扶村投入各类扶持资金20余万元。积极助力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color="080000" w:fill="FFFFFF"/>
          <w:lang w:eastAsia="zh-CN"/>
          <w14:textFill>
            <w14:solidFill>
              <w14:schemeClr w14:val="tx1"/>
            </w14:solidFill>
          </w14:textFill>
        </w:rPr>
        <w:t>乡村振兴，持续巩固提升脱贫成果，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扎实开展防返贫致贫预警动态监测帮扶机制和消费扶贫增收工作，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扎实推进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脱贫攻坚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与乡村振兴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有效衔接。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疫情防控期间，闻令即动，在做好机关自身防控的同时，根据县里统一部署组织干警到防控点防控值守，依法从重从快办理了张某利用网络发布虚假医用口罩信息诈骗案，做到了疫情防控与司法办案两不误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自觉在</w:t>
      </w:r>
      <w:r>
        <w:rPr>
          <w:rFonts w:hint="eastAsia" w:ascii="楷体_GB2312" w:hAnsi="楷体" w:eastAsia="楷体_GB2312" w:cs="楷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提升服务效能</w:t>
      </w:r>
      <w:r>
        <w:rPr>
          <w:rFonts w:hint="eastAsia" w:ascii="楷体_GB2312" w:hAnsi="楷体" w:eastAsia="楷体_GB2312" w:cs="楷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中践行司法为民宗旨</w:t>
      </w:r>
      <w:r>
        <w:rPr>
          <w:rFonts w:hint="eastAsia" w:ascii="楷体_GB2312" w:hAnsi="楷体" w:eastAsia="楷体_GB2312" w:cs="楷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立足检察职能，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努力为群众提供更高效、更便利的服务。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建成了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12309检察服务中心，对“控告申诉举报、案件程序性信息查询、国家赔偿、司法救助、法律咨询、释法说理”实行一站式服务，设置微信公众号、开通网上接待；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建成了专门的律师阅卷室，方便辩护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律师查阅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卷宗；通过检察统一业务系统，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公开案件程序性信息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法律文书，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增强了检察工作透明度；全面推开检察公开听证，对多起案件进行公开听证，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实现“四大检察”全覆盖，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邀请人大代表、政协委员、人民监督员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担任听证员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，让当事人把事说清、听证员把理辨明、检察官把法讲透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开促公正赢公信；深入落实“一号检察建议”，持续做好未成年人保护和预防未成年人犯罪工作，选派检察官兼任法治副校长，开展法治进校园活动，与教育主管部门联动配合，加强校园安全管理，严防校园欺凌。关爱农村留守儿童，护航未成年人健康成长，先后举办“关爱祖国未来，擦亮未检品牌”“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5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检爱同行，共护未来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”等主题检察开放日，邀请人大代表、政协委员和在校师生、社会各界参观座谈，宣传法治，增强维权合力。我县连续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6年未发生未成年人犯罪。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重办案、护稳定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，全力服务保障发展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" w:eastAsia="仿宋_GB2312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时刻牢记维护稳定这一首要职责任务，把服务保障全县发展落实在严格执法、规范办案、能动履职上。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坚决维护社会安定人民安宁。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依法严惩危害国家安全和破坏社会秩序的刑事犯罪，积极维护社会稳定。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依法批准逮捕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128件204人，提起公诉211件299人。主动适应刑事犯罪新动向，积极回应群众关切。坚持打防结合，对11件20人电信诈骗案提起公诉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，最大限度预防和减少电信网络诈骗案件的发生。在“断卡”行动中，与公安机关紧密协作，打掉了以犯罪嫌疑人张某某、刘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某某为首的帮助信息网络犯罪团伙，有效斩断了电信诈骗的资金流。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深入开展扫黑除恶专项斗争。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发挥检察职能，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切实承担起扫黑除恶的职责和使命，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坚持“是黑恶犯罪一个不放过，不是黑恶犯罪一个不凑数”，切实做到扫黑除恶与“打财断血”“打伞破网”“行业清源”一体推进，共办理涉恶案件5件21人；在办案中向纪委监委移送涉嫌违纪线索6条，向有关单位发出检察建议16份，助力重点行业规范发展，共同推进源头治理。1名同志被市检察院荣记三等功，2个集体、4名个人受到上级表彰。扫黑除恶斗争常态化以来，又办理了全市首例恶势力犯罪团伙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更新司法理念精准执行刑事政策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贯彻落实宽严相济刑事司法政策，该宽则宽、当严则严。积极适用认罪认罚从宽制度，办案中加强对犯罪嫌疑人的释法说理，减少社会对抗，共适用认罪认罚从宽制度办理案件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95件140人，不仅提高了办案效率，节约了司法资源，而且有效化解了社会矛盾，修复了社会关系，促进了社会和谐稳定。牢固树立“少捕慎诉慎押”司法理念，对于亲属、邻里之间偶发的犯罪，坚持以教育挽救为主，注重矛盾纠纷的化解。近年来，决定不批准逮捕42件81人，不起诉24件39人，办理羁押必要性审查16件16人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实现了政治效果、法律效果、社会效果有机统一。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强监督、促公正，致力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推进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平安宜君建设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牢牢守护社会公平正义最后一道防线，把助推长治久安、促进社会治理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体现在优质高效的法律监督上。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坚持做优刑事检察。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充分发挥派驻公安机关执法办案中心检察室、侦查监督与协作配合办公室平台作用，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用足用好提前介入、诉前引导、检察建议、纠正违法等有效方式，坚持在办案中监督、监督中办案。监督立案32件，监督撤案22件，纠正违法37件次，依法追捕漏犯41人，追诉漏犯11人、追诉漏罪9起。强化刑事审判监督，对刑事裁判提起抗诉1件，量刑建议的提出率、精准率、采纳率逐年提高。加强刑事执行监督，对监管活动、社区矫正定期进行监督检查，发出检察建议11份、《纠正违法通知书》5份，继续保持零超期羁押和安全无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持续做强民事检察。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积极履行民事检察职能，促进司法公正。对当事人申请监督的案件，依法审查，及时向有关单位发出检察建议，维护当事人合法权益；对不支持监督申请的事项，认真开展释法说理，积极做好服判息诉工作，努力化解社会矛盾。结合法律监督专项检查，对多件民事审判、执行案件进行全面检查，并将发现的问题进行反馈，均得到及时整改。五年来，共办理民事监督案件33件，其中审判程序监督案件10件，民事执行监督案件19件，生效裁判监督案件4件，发出检察建议28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积极做实行政检察。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坚持以行政非诉执行监督为重点，努力提高办案质量水平，制发的一份行政非诉执行监督检察建议被省院评为全省2021年度优秀行政非诉执行监督检察建议。充分发挥行政检察职能，常态化开展行政争议实质性化解，既支持行政机关依法行政，又注重维护行政相对人合法权益，促进案结事了政和。针对有关企业对行政机关处罚存在异议、拖欠罚款的具体案件，派员深入企业，主持召开行政机关共同参加的座谈会，通过充分释法说理，使双方争议得到实质性化解。积极参与社会治理，对有关行政机关适用法律存在问题及时提出检察建议。五年来，共办理行政监督案件21件，其中非诉执行监督案件6件，促进依法行政案件10件，发出检察建议16份，结合办案化解行政争议5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全力做好公益诉讼检察。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坚持常态化开展“守护群众美好生活”活动，关注群众身边小事，守护群众“头顶上”“脚底下”“舌尖上”的安全，通过诉前检察建议督促行政机关依法履职，同行政机关一起共同维护国家和社会公共利益，实现了双赢多赢共赢。积极开展矿山地质生态环境保护专项监督行动，推动矿山地质环境恢复治理，针对两处废弃尾矿恢复治理问题，及时向行政机关发出检察建议，行政机关高度重视，积极争取实施了恢复治理项目，该项目实施完成后，预计修复生态面积约60公顷。深入开展“寻访革命旧址、保护革命文物、传承革命精神”专项活动，促成10件烈士遗物作为革命文物被妥善收藏和管护。五年来，共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办理公益诉讼案件170件，切实维护了国家利益和社会公共利益。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积极</w:t>
      </w:r>
      <w:r>
        <w:rPr>
          <w:rFonts w:hint="eastAsia" w:ascii="楷体_GB2312" w:hAnsi="楷体" w:eastAsia="楷体_GB2312" w:cs="楷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推进</w:t>
      </w:r>
      <w:r>
        <w:rPr>
          <w:rFonts w:hint="eastAsia" w:ascii="楷体_GB2312" w:hAnsi="楷体" w:eastAsia="楷体_GB2312" w:cs="楷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平安宜君、法治宜君建设</w:t>
      </w:r>
      <w:r>
        <w:rPr>
          <w:rFonts w:hint="eastAsia" w:ascii="楷体_GB2312" w:hAnsi="楷体" w:eastAsia="楷体_GB2312" w:cs="楷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加强检察环节社会风险防控，认真落实“群众信访件件有回复”工作制度，依法稳妥办理群众信访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件，全部在7日内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程序性回复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、3个月内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办理过程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或结果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答复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，继续保持涉检赴省进京零上访。努力杜绝和消除因案致贫、因案返贫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7名生活困难的案件受害人、或受害人亲属进行了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司法救助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救助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金额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。扎实做好“九率一度”法治宣传、“三官一律”进村组进社区普法宣传，注重从司法办案第一道关口化解社会矛盾，提升社会治理效能，努力让人民群众在每一起司法办案中感受到公平正义。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谋发展、重自强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，努力提升忠诚履职水平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时刻牢记权力来源，把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提高履职能力体现在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持续加强自身建设上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积极</w:t>
      </w:r>
      <w:r>
        <w:rPr>
          <w:rFonts w:hint="eastAsia" w:ascii="楷体_GB2312" w:hAnsi="楷体" w:eastAsia="楷体_GB2312" w:cs="楷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强化履职能力。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深入开展有进步、有站位、有品牌“三有”争创活动，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不断提升履职能力水平。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先后集中组织全院干警到浙江大学、厦门大学进行岗位素能提升培训，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支持干警外出参加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对口业务技能培训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鼓励岗位成才，督促干警用好“检答网”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认真做好网络业务学习，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在具体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业务工作中实战锻炼。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发挥考评考核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指挥棒、风向标作用，逐步加强对干警工作质量、效率、效果的检查考核，极大地激发了干警的工作积极性。全院有6人次在全市检察系统业务竞赛中获奖，5名同志入选省、市检察系统业务人才库，3名同志被市检察院荣记个人三等功，17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个集体受到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表彰。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积极推进司法改革。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严格按照规定要求，认真做好司法责任制改革各项工作，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2017年完成第二批员额检察官遴选，实行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检察人员分类管理，以检察官为主体的人力资源配置模式初步建立，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线办案力量达到68%。员额院领导带头办大案、办难案，累计办案数占办案总量的40%。认真落实省院司法办案责任清单要求，实行办案质量终身负责制、错案责任追究制，司法责任制权责明晰、落实到位。加强内部办案监督，充分运用检察业务应用系统动态监测案卡填录、办案流程，检察办案质效提升明显。有序推进内设机构改革，有机整合工作力量，内部职能更加明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积极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加强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改进作风。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履行全面从严治党主体责任，坚持严管就是厚爱，开展各类专项整治，持续纠治陈规陋习，弘扬“勤快严实精细廉”作风。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逐级夯实党风廉政建设责任，加强重点岗位、关键部位监督防范，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坚持问题导向，严明纪律规矩，层层传导压力，积极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整治顽瘴痼疾隐患苗头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严格落实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防止干预司法“三个规定”，主动记录报告重大事项。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持之以恒从严要求、严格管理，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对在岗状态、车辆运行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执法办案进行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督察，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全院干警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守底线、知敬畏、存戒惧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的言行自律明显加强。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时刻牢记检察权是党和人民赋予的，监督者更要接受监督。我院毫不动摇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坚持党对检察工作的绝对领导，认真贯彻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落实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县委决策、人大决议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，严格依法慎行职权，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报告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部署、重点工作进度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自觉把检察工作置于人大、人大代表和社会各界的监督之下，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适时召开征求意见座谈会，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认真听取代表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、委员和社会各界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的意见建议，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及时采纳落实改进。积极配合县人大常委会开展公益诉讼调研，客观如实报告工作、反映情况，确保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检察权依法正确行使。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各位代表，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 w:bidi="ar"/>
          <w14:textFill>
            <w14:solidFill>
              <w14:schemeClr w14:val="tx1"/>
            </w14:solidFill>
          </w14:textFill>
        </w:rPr>
        <w:t>五年来，检察工作取得的每一个成绩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 w:bidi="ar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县委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 w:bidi="ar"/>
          <w14:textFill>
            <w14:solidFill>
              <w14:schemeClr w14:val="tx1"/>
            </w14:solidFill>
          </w14:textFill>
        </w:rPr>
        <w:t>、市检察院坚强领导的结果，是县人大及其常委会有力监督的结果，是县政府、县政协、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社会各界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 w:bidi="ar"/>
          <w14:textFill>
            <w14:solidFill>
              <w14:schemeClr w14:val="tx1"/>
            </w14:solidFill>
          </w14:textFill>
        </w:rPr>
        <w:t>帮助支持的结果，是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各位代表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、委员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依法监督、建言献策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的结果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在此，我代表县检察院表示崇高的敬意和衷心的感谢！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回顾五年历程，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我们清醒认识到工作中的不足和问题，一是司法理念更新不到位，工作亮点少，宜君检察品牌特色不够突出。二是基层院建设还存在薄弱环节，检察信息化建设仍然滞后。三是检察队伍的整体素质还有待进一步提高。形势催人奋进，责任倒逼担当，我们将紧盯不放、下大力气解决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2022年工作安排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2022年，是迈入全面建设社会主义现代化国家、向第二个百年奋斗目标进军新征程的重要一年，也是谱写宜君高质量发展新篇章的关键之年，我院的总体工作思路是：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坚持以习近平新时代中国特色社会主义思想为指导，认真贯彻党的十九大和十九届历次全会精神，全面贯彻习近平法治思想、习近平总书记关于政法工作的重要指示和来陕考察重要讲话精神，坚持党的绝对领导，坚持人民至上，认真落实县十七次党代会部署和本次人大会议决议，围绕服务保障党的二十大胜利召开这条主线，把握以检察工作高质量发展服务经济社会高质量发展这个主题，以高度的政治自觉、法治自觉、检察自觉认真贯彻《中共中央关于加强新时代检察机关法律监督工作的意见》，深入推进基层院建设，全面协调充分履行“四大检察”职能，努力为宜君高质量发展提供优质高效的检察保障，以实际行动迎接党的二十大胜利召开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一是时刻保持政治清醒，以更大力度服务高质量发展。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进一步提高政治站位，持续深入学习贯彻习近平新时代中国特色社会主义思想，坚持和捍卫“两个确立”、做到“两个维护”。坚持党对检察工作的绝对领导，严格执行县委决策、人大决议，自觉把检察工作融入全县发展大局，加强改进检察服务保障措施，坚持稳中求进工作总基调，为全县发展大局服务，更好地自觉能动履职，全力保障我县高质量发展。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二是扎实推进主责主业，坚决维护社会安定人民安宁。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依法严厉打击严重刑事犯罪，坚持在法治轨道上常态化开展扫黑除恶斗争，依法打击黄赌毒、盗抢骗、涉疫情等侵害群众切身利益的犯罪，不断增强群众安全感。用心用情办好群众身边的“小案”，让人民群众感受到公平正义就在身边。深入落实宽严相济、认罪认罚从宽、“少捕慎诉慎押”刑事司法政策，不断提升办案质效，持续促进社会和谐稳定。厚植检察为民情怀，扎实办好检察为民实事，积极履行社会治理责任，助力更高水平平安宜君、法治宜君建设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三是持续更新司法理念，全面提升法律监督质效。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围绕构建规范高效法律监督体系的目标，下大力气推动“四大检察”全面协调充分发展。坚持“双赢多赢共赢”的监督理念，切实做到敢于监督、善于监督、精准监督。严把案件质量关，加强刑事诉讼监督。全面贯彻民法典，以民事生效裁判监督、执行监督为重点，精准开展民事诉讼监督。常态化开展行政争议实质性化解，加强行政检察监督，促进依法行政。进一步聚焦生态环境和资源保护、食品药品安全领域，持续做好公益诉讼检察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四是扎实开展质量建设年活动，积极打造过硬检察队伍。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针对基层院建设工作中的薄弱环节，突出重点，克难点、强弱项、补短板，压茬推进政治、业务、队伍、作风和检务保障建设。对照《全省基层院建设分析评价实施方案》，完善检察人员业绩考评细则，用严格考评倒逼责任落实，用科学管理推动检察事业高质量发展，以求极致的工作作风和精神状态，全面推进各项检察工作。巩固拓展党史学习教育、政法队伍教育整顿成果，严格落实全面从严治党规定要求，严格机关管理，严明纪律作风，加强思想淬炼、政治历练、实践锻炼，提高干警职业素质能力，夯实宜君检察事业发展根基。更加自觉接受人大、政协和社会各界监督，以公开促公信，努力打造过硬班子、过硬检察队伍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各位代表，栉风沐雨初心不改，砥砺奋进勇毅前行。我院决心在县委、市检察院的坚强领导下，在县人大及其常委会的有力监督下，认真落实本次会议精神，坚定信念决心、奋勇担当作为，努力开启宜君检察事业新征程，为奋力谱写宜君高质量发展新篇章作出新的贡献，以实际行动迎接党的二十大胜利召开！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default" w:ascii="仿宋_GB2312" w:hAnsi="仿宋" w:eastAsia="仿宋_GB2312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Bdr>
          <w:bottom w:val="single" w:color="FFFFFF" w:sz="8" w:space="31"/>
        </w:pBdr>
        <w:spacing w:line="560" w:lineRule="exact"/>
        <w:ind w:firstLine="64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400" w:lineRule="exact"/>
        <w:rPr>
          <w:rFonts w:hint="eastAsia" w:ascii="仿宋_GB2312" w:eastAsia="仿宋_GB2312" w:cs="仿宋_GB2312"/>
          <w:color w:val="000000" w:themeColor="text1"/>
          <w:kern w:val="0"/>
          <w:sz w:val="28"/>
          <w:szCs w:val="28"/>
          <w:lang w:val="zh-CN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980" w:lineRule="exact"/>
        <w:rPr>
          <w:rFonts w:hint="eastAsia" w:ascii="仿宋_GB2312" w:eastAsia="仿宋_GB2312" w:cs="仿宋_GB2312"/>
          <w:color w:val="000000" w:themeColor="text1"/>
          <w:kern w:val="0"/>
          <w:sz w:val="28"/>
          <w:szCs w:val="28"/>
          <w:lang w:val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eastAsia="仿宋_GB2312" w:cs="仿宋_GB2312"/>
          <w:color w:val="000000" w:themeColor="text1"/>
          <w:kern w:val="0"/>
          <w:sz w:val="28"/>
          <w:szCs w:val="28"/>
          <w:lang w:val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仿宋_GB2312" w:eastAsia="仿宋_GB2312" w:cs="仿宋_GB2312"/>
          <w:color w:val="000000" w:themeColor="text1"/>
          <w:kern w:val="0"/>
          <w:sz w:val="28"/>
          <w:szCs w:val="28"/>
          <w:lang w:val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eastAsia="仿宋_GB2312" w:cs="仿宋_GB2312"/>
          <w:color w:val="000000" w:themeColor="text1"/>
          <w:kern w:val="0"/>
          <w:sz w:val="28"/>
          <w:szCs w:val="28"/>
          <w:lang w:val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eastAsia="仿宋_GB2312" w:cs="仿宋_GB2312"/>
          <w:color w:val="000000" w:themeColor="text1"/>
          <w:kern w:val="0"/>
          <w:sz w:val="28"/>
          <w:szCs w:val="28"/>
          <w:lang w:val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/>
          <w:lang w:val="zh-CN"/>
        </w:rPr>
      </w:pPr>
    </w:p>
    <w:p>
      <w:pPr>
        <w:autoSpaceDE w:val="0"/>
        <w:autoSpaceDN w:val="0"/>
        <w:adjustRightInd w:val="0"/>
        <w:spacing w:line="560" w:lineRule="exact"/>
        <w:ind w:firstLine="2640" w:firstLineChars="1100"/>
        <w:rPr>
          <w:rFonts w:hint="eastAsia" w:ascii="黑体" w:eastAsia="黑体" w:cs="黑体"/>
          <w:color w:val="000000" w:themeColor="text1"/>
          <w:kern w:val="0"/>
          <w:sz w:val="24"/>
          <w:lang w:val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273050</wp:posOffset>
                </wp:positionV>
                <wp:extent cx="5661660" cy="0"/>
                <wp:effectExtent l="0" t="0" r="0" b="0"/>
                <wp:wrapNone/>
                <wp:docPr id="4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166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0.3pt;margin-top:21.5pt;height:0pt;width:445.8pt;z-index:251659264;mso-width-relative:page;mso-height-relative:page;" filled="f" stroked="t" coordsize="21600,21600" o:gfxdata="UEsDBAoAAAAAAIdO4kAAAAAAAAAAAAAAAAAEAAAAZHJzL1BLAwQUAAAACACHTuJA+St9YtYAAAAH&#10;AQAADwAAAGRycy9kb3ducmV2LnhtbE2PzU7DQAyE70i8w8pI3NpNitSGNJseQFUF4tIWiaubuNlA&#10;1ptmtz+8PUYcys32jMbfFIuL69SJhtB6NpCOE1DEla9bbgy8b5ejDFSIyDV2nsnANwVYlLc3Bea1&#10;P/OaTpvYKAnhkKMBG2Ofax0qSw7D2PfEou394DDKOjS6HvAs4a7TkySZaoctyweLPT1Zqr42R2cA&#10;n1fr+JFNXmfti3373C4PK5sdjLm/S5M5qEiXeDXDL76gQylMO3/kOqjOwGgqRgMPM2kkcvaYyrD7&#10;O+iy0P/5yx9QSwMEFAAAAAgAh07iQC3JH+7RAQAAnAMAAA4AAABkcnMvZTJvRG9jLnhtbK1TS44T&#10;MRDdI3EHy3vSnQgCaqUziwnDBkEkmANU/Om25J9cnnRyFq7Big3HmWtQdjJhmNkgRBZO2VX1XO/5&#10;9erq4Czbq4Qm+J7PZy1nyosgjR96fvv15tU7zjCDl2CDVz0/KuRX65cvVlPs1CKMwUqVGIF47KbY&#10;8zHn2DUNilE5wFmIylNSh+Qg0zYNjUwwEbqzzaJtl80UkowpCIVIp5tTkq8rvtZK5M9ao8rM9pxm&#10;y3VNdd2VtVmvoBsSxNGI8xjwD1M4MJ4uvUBtIAO7S+YZlDMiBQw6z0RwTdDaCFU5EJt5+4TNlxGi&#10;qlxIHIwXmfD/wYpP+21iRvb8NWceHD3R/bfv9z9+skXRZorYUcm136bzDuM2FaIHnVz5JwrsUPU8&#10;XvRUh8wEHb5ZLufLJckuHnLN78aYMH9QwbES9NwaX6hCB/uPmOkyKn0oKcfWs4kMtnjbFjwgq2gL&#10;mUIXaXj0Q23GYI28MdaWFkzD7tomtofy+PVXOBHwH2Xllg3geKqrqZMtRgXyvZcsHyPJ4sm/vMzg&#10;lOTMKrJ7iQgQugzG/k0lXW19aVDVmmeiReSTrCXaBXmkJ7mLyQwjCTOvM5cMWaBOf7Zr8djjPcWP&#10;P6r1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krfWLWAAAABwEAAA8AAAAAAAAAAQAgAAAAIgAA&#10;AGRycy9kb3ducmV2LnhtbFBLAQIUABQAAAAIAIdO4kAtyR/u0QEAAJwDAAAOAAAAAAAAAAEAIAAA&#10;ACUBAABkcnMvZTJvRG9jLnhtbFBLBQYAAAAABgAGAFkBAABo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bookmarkEnd w:id="0"/>
    </w:p>
    <w:p>
      <w:pPr>
        <w:spacing w:line="440" w:lineRule="exact"/>
        <w:ind w:firstLine="140" w:firstLineChars="50"/>
        <w:jc w:val="left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340995</wp:posOffset>
                </wp:positionV>
                <wp:extent cx="5661660" cy="0"/>
                <wp:effectExtent l="0" t="0" r="0" b="0"/>
                <wp:wrapNone/>
                <wp:docPr id="5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166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0.3pt;margin-top:26.85pt;height:0pt;width:445.8pt;z-index:251660288;mso-width-relative:page;mso-height-relative:page;" filled="f" stroked="t" coordsize="21600,21600" o:gfxdata="UEsDBAoAAAAAAIdO4kAAAAAAAAAAAAAAAAAEAAAAZHJzL1BLAwQUAAAACACHTuJANTugOdcAAAAH&#10;AQAADwAAAGRycy9kb3ducmV2LnhtbE2PzU7DMBCE70i8g7VI3FonRbRpiNMDqKpAXNoi9bpNljgQ&#10;r9PY/eHtWcQBjrMzmvm2WFxcp040hNazgXScgCKufN1yY+BtuxxloEJErrHzTAa+KMCivL4qMK/9&#10;mdd02sRGSQmHHA3YGPtc61BZchjGvicW790PDqPIodH1gGcpd52eJMlUO2xZFiz29Gip+twcnQF8&#10;Wq3jLpu8zNpn+/qxXR5WNjsYc3uTJg+gIl3iXxh+8AUdSmHa+yPXQXUGRlMJGri/m4ESO5un8tr+&#10;96DLQv/nL78BUEsDBBQAAAAIAIdO4kASPdQt0QEAAJwDAAAOAAAAZHJzL2Uyb0RvYy54bWytU0uO&#10;EzEQ3SNxB8t70p2ICaiVziwmDBsEkYADVPzptuSfXJ50chauwYoNx5lrUHYyYWA2I0QWTtlV9Vzv&#10;+fXq+uAs26uEJviez2ctZ8qLII0fev71y+2rt5xhBi/BBq96flTIr9cvX6ym2KlFGIOVKjEC8dhN&#10;sedjzrFrGhSjcoCzEJWnpA7JQaZtGhqZYCJ0Z5tF2y6bKSQZUxAKkU43pyRfV3ytlciftEaVme05&#10;zZbrmuq6K2uzXkE3JIijEecx4B+mcGA8XXqB2kAGdpfMEyhnRAoYdJ6J4JqgtRGqciA28/YvNp9H&#10;iKpyIXEwXmTC/wcrPu63iRnZ8yvOPDh6ovtv3+9//GSvizZTxI5Kbvw2nXcYt6kQPejkyj9RYIeq&#10;5/GipzpkJujwarmcL5cku3jINb8bY8L8XgXHStBza3yhCh3sP2Cmy6j0oaQcW88mMtjiTVvwgKyi&#10;LWQKXaTh0Q+1GYM18tZYW1owDbsbm9geyuPXX+FEwH+UlVs2gOOprqZOthgVyHdesnyMJIsn//Iy&#10;g1OSM6vI7iUiQOgyGPucSrra+tKgqjXPRIvIJ1lLtAvySE9yF5MZRhJmXmcuGbJAnf5s1+Kxx3uK&#10;H39U6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1O6A51wAAAAcBAAAPAAAAAAAAAAEAIAAAACIA&#10;AABkcnMvZG93bnJldi54bWxQSwECFAAUAAAACACHTuJAEj3ULdEBAACcAwAADgAAAAAAAAABACAA&#10;AAAmAQAAZHJzL2Uyb0RvYy54bWxQSwUGAAAAAAYABgBZAQAAaQ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宜君县十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届人大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次会议秘书处              202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color w:val="000000" w:themeColor="text1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41275</wp:posOffset>
                </wp:positionV>
                <wp:extent cx="1171575" cy="476250"/>
                <wp:effectExtent l="0" t="0" r="0" b="0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120" w:firstLineChars="50"/>
                              <w:rPr>
                                <w:rFonts w:hint="eastAsia" w:ascii="黑体"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  <w:szCs w:val="24"/>
                              </w:rPr>
                              <w:t>共印</w:t>
                            </w:r>
                            <w:r>
                              <w:rPr>
                                <w:rFonts w:hint="eastAsia" w:ascii="黑体" w:eastAsia="黑体"/>
                                <w:sz w:val="24"/>
                                <w:szCs w:val="24"/>
                                <w:lang w:val="en-US" w:eastAsia="zh-CN"/>
                              </w:rPr>
                              <w:t>600</w:t>
                            </w:r>
                            <w:r>
                              <w:rPr>
                                <w:rFonts w:hint="eastAsia" w:ascii="黑体" w:eastAsia="黑体"/>
                                <w:sz w:val="24"/>
                                <w:szCs w:val="24"/>
                              </w:rPr>
                              <w:t>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351pt;margin-top:3.25pt;height:37.5pt;width:92.25pt;z-index:251661312;mso-width-relative:page;mso-height-relative:page;" filled="f" stroked="f" coordsize="21600,21600" o:gfxdata="UEsDBAoAAAAAAIdO4kAAAAAAAAAAAAAAAAAEAAAAZHJzL1BLAwQUAAAACACHTuJATnWxPtUAAAAI&#10;AQAADwAAAGRycy9kb3ducmV2LnhtbE2PwU7DMBBE70j9B2srcaN2KlLSEKeHVlxBtIDUmxtvk4h4&#10;HcVuE/6e7Qlus5rR7JtiM7lOXHEIrScNyUKBQKq8banW8HF4echAhGjIms4TavjBAJtydleY3PqR&#10;3vG6j7XgEgq50dDE2OdShqpBZ8LC90jsnf3gTORzqKUdzMjlrpNLpVbSmZb4Q2N63DZYfe8vTsPn&#10;6/n49aje6p1L+9FPSpJbS63v54l6BhFxin9huOEzOpTMdPIXskF0Gp7UkrdEDasUBPtZdhMnFkkK&#10;sizk/wHlL1BLAwQUAAAACACHTuJAnOWcK58BAAAXAwAADgAAAGRycy9lMm9Eb2MueG1srVJLbtsw&#10;EN0H6B0I7mvabhU3guUAhZFuiqRAkgPQFGkRIDkESVvyBZobdNVN9j2Xz5EhozpBsiu64W/evJn3&#10;hsvLwRqylyFqcA2dTaaUSCeg1W7b0Pu7q49fKImJu5YbcLKhBxnp5erD2bL3tZxDB6aVgSCJi3Xv&#10;G9ql5GvGouik5XECXjoMKgiWJ7yGLWsD75HdGjafTs9ZD6H1AYSMEV/Xz0G6KvxKSZFulIoyEdNQ&#10;7C2VNZR1k1e2WvJ6G7jvtBjb4P/QheXaYdET1ZonTnZBv6OyWgSIoNJEgGWglBayaEA1s+kbNbcd&#10;97JoQXOiP9kU/x+tuN7/CES3ODtKHLc4ouOvh+PvP8fHn+RTtqf3sUbUrUdcGr7CkKHje8THrHpQ&#10;weYd9RCMo9GHk7lySETkpNliVi0qSgTGPi/O51Vxn71k+xDTNwmW5ENDAw6veMr332PCigj9C8nF&#10;HFxpY8oAjSN9Qy+qeVUSThHMMC5jZfkKI01W9Nx5PqVhM4xyNtAeUOXOB73tsIOik2UQul/qjz8l&#10;j/f1Hc+v//Pq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E51sT7VAAAACAEAAA8AAAAAAAAAAQAg&#10;AAAAIgAAAGRycy9kb3ducmV2LnhtbFBLAQIUABQAAAAIAIdO4kCc5ZwrnwEAABcDAAAOAAAAAAAA&#10;AAEAIAAAACQ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120" w:firstLineChars="50"/>
                        <w:rPr>
                          <w:rFonts w:hint="eastAsia" w:ascii="黑体" w:eastAsia="黑体"/>
                          <w:sz w:val="28"/>
                        </w:rPr>
                      </w:pPr>
                      <w:r>
                        <w:rPr>
                          <w:rFonts w:hint="eastAsia" w:ascii="黑体" w:eastAsia="黑体"/>
                          <w:sz w:val="24"/>
                          <w:szCs w:val="24"/>
                        </w:rPr>
                        <w:t>共印</w:t>
                      </w:r>
                      <w:r>
                        <w:rPr>
                          <w:rFonts w:hint="eastAsia" w:ascii="黑体" w:eastAsia="黑体"/>
                          <w:sz w:val="24"/>
                          <w:szCs w:val="24"/>
                          <w:lang w:val="en-US" w:eastAsia="zh-CN"/>
                        </w:rPr>
                        <w:t>600</w:t>
                      </w:r>
                      <w:r>
                        <w:rPr>
                          <w:rFonts w:hint="eastAsia" w:ascii="黑体" w:eastAsia="黑体"/>
                          <w:sz w:val="24"/>
                          <w:szCs w:val="24"/>
                        </w:rPr>
                        <w:t>份</w:t>
                      </w:r>
                    </w:p>
                  </w:txbxContent>
                </v:textbox>
              </v:shape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2098" w:right="1474" w:bottom="1984" w:left="1588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4761865</wp:posOffset>
              </wp:positionH>
              <wp:positionV relativeFrom="paragraph">
                <wp:posOffset>-381000</wp:posOffset>
              </wp:positionV>
              <wp:extent cx="796925" cy="2413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6925" cy="241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4.95pt;margin-top:-30pt;height:19pt;width:62.75pt;mso-position-horizontal-relative:margin;z-index:251661312;mso-width-relative:page;mso-height-relative:page;" filled="f" stroked="f" coordsize="21600,21600" o:gfxdata="UEsDBAoAAAAAAIdO4kAAAAAAAAAAAAAAAAAEAAAAZHJzL1BLAwQUAAAACACHTuJA49FK8NoAAAAL&#10;AQAADwAAAGRycy9kb3ducmV2LnhtbE2Py07DMBBF90j8gzVI7Fo7UekjxOmCx45naSXYObFJIuxx&#10;ZDtp+XuGFSxn5ujOueX25CybTIi9RwnZXAAz2HjdYyth/3Y/WwOLSaFW1qOR8G0ibKvzs1IV2h/x&#10;1Uy71DIKwVgoCV1KQ8F5bDrjVJz7wSDdPn1wKtEYWq6DOlK4szwXYsmd6pE+dGowN51pvnajk2Df&#10;Y3ioRfqYbtvH9PLMx8Nd9iTl5UUmroElc0p/MPzqkzpU5FT7EXVkVsJqsdkQKmG2FFSKiPXqagGs&#10;pk2eC+BVyf93qH4AUEsDBBQAAAAIAIdO4kDE7ZA1HAIAABMEAAAOAAAAZHJzL2Uyb0RvYy54bWyt&#10;U01uEzEU3iNxB8t7MklKUxplUoVWQUgRrRQQa8djZyzZfsZ2MhMOADfoig17zpVz8OzJpAhYITae&#10;N36/3/c+z25ao8le+KDAlnQ0GFIiLIdK2W1JP7xfvnhFSYjMVkyDFSU9iEBv5s+fzRo3FWOoQVfC&#10;Eyxiw7RxJa1jdNOiCLwWhoUBOGHRKcEbFvHXb4vKswarG12Mh8NJ0YCvnAcuQsDbu85J57m+lILH&#10;eymDiESXFGeL+fT53KSzmM/YdOuZqxU/jcH+YQrDlMWm51J3LDKy8+qPUkZxDwFkHHAwBUipuMgY&#10;EM1o+Buadc2cyFiQnODONIX/V5a/2z94oqqSXlFimcEVHR+/Hr/9OH7/Qq4SPY0LU4xaO4yL7Wto&#10;cc39fcDLhLqV3qQv4iHoR6IPZ3JFGwnHy6vryfX4khKOrvHL0cUwk188JTsf4hsBhiSjpB53lyll&#10;+1WIOAiG9iGpl4Wl0jrvT1vSlHRycTnMCWcPZmiLiQlCN2qyYrtpT7g2UB0QlodOF8HxpcLmKxbi&#10;A/MoBESC4o73eEgN2AROFiU1+M9/u0/xuB/0UtKgsEoaPu2YF5TotxY3l1TYG743Nr1hd+YWUKsj&#10;fDaOZxMTfNS9KT2Yj6j5ReqCLmY59ipp7M3b2Mkb3wwXi0UO2jmvtnWXgLpzLK7s2vHUpqNysYsg&#10;VWY5UdTxcmIOlZfJP72SJO1f/3PU01ue/w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j0Urw2gAA&#10;AAsBAAAPAAAAAAAAAAEAIAAAACIAAABkcnMvZG93bnJldi54bWxQSwECFAAUAAAACACHTuJAxO2Q&#10;NRwCAAATBAAADgAAAAAAAAABACAAAAApAQAAZHJzL2Uyb0RvYy54bWxQSwUGAAAAAAYABgBZAQAA&#10;t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218440</wp:posOffset>
              </wp:positionH>
              <wp:positionV relativeFrom="paragraph">
                <wp:posOffset>-381000</wp:posOffset>
              </wp:positionV>
              <wp:extent cx="796925" cy="2413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6925" cy="241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.2pt;margin-top:-30pt;height:19pt;width:62.75pt;mso-position-horizontal-relative:margin;z-index:251662336;mso-width-relative:page;mso-height-relative:page;" filled="f" stroked="f" coordsize="21600,21600" o:gfxdata="UEsDBAoAAAAAAIdO4kAAAAAAAAAAAAAAAAAEAAAAZHJzL1BLAwQUAAAACACHTuJAXznyfdkAAAAK&#10;AQAADwAAAGRycy9kb3ducmV2LnhtbE2Py07DMBBF90j8gzVI7Fo7oVRtiNMFjx1QaEGCnRObJMIe&#10;R7aTlr9nuoLlzBzdObfcHJ1lkwmx9yghmwtgBhuve2wlvO0fZitgMSnUyno0En5MhE11flaqQvsD&#10;vpppl1pGIRgLJaFLaSg4j01nnIpzPxik25cPTiUaQ8t1UAcKd5bnQiy5Uz3Sh04N5rYzzfdudBLs&#10;RwyPtUif0137lF62fHy/z56lvLzIxA2wZI7pD4aTPqlDRU61H1FHZiVcLRZESpgtBXU6AdfrNbCa&#10;NnkugFcl/1+h+gVQSwMEFAAAAAgAh07iQDPzN6UbAgAAEwQAAA4AAABkcnMvZTJvRG9jLnhtbK1T&#10;TY7TMBTeI3EHy3uatsMUWjUdlRkVIVXMSAWxdh27sWT7GdttUg4AN2DFhj3n6jl4dpoOAlaIjfPi&#10;9/t97/P8pjWaHIQPCmxJR4MhJcJyqJTdlfT9u9Wzl5SEyGzFNFhR0qMI9Gbx9Mm8cTMxhhp0JTzB&#10;IjbMGlfSOkY3K4rAa2FYGIATFp0SvGERf/2uqDxrsLrRxXg4nBQN+Mp54CIEvL3rnHSR60speLyX&#10;MohIdElxtphPn89tOovFnM12nrla8fMY7B+mMExZbHopdcciI3uv/ihlFPcQQMYBB1OAlIqLjAHR&#10;jIa/odnUzImMBckJ7kJT+H9l+dvDgyeqKumUEssMruj09cvp24/T989kmuhpXJhh1MZhXGxfQYtr&#10;7u8DXibUrfQmfREPQT8SfbyQK9pIOF6+mE6m42tKOLrGz0dXw0x+8ZjsfIivBRiSjJJ63F2mlB3W&#10;IeIgGNqHpF4WVkrrvD9tSVPSydX1MCdcPJihLSYmCN2oyYrttj3j2kJ1RFgeOl0Ex1cKm69ZiA/M&#10;oxAQCYo73uMhNWATOFuU1OA//e0+xeN+0EtJg8Iqafi4Z15Qot9Y3FxSYW/43tj2ht2bW0CtjvDZ&#10;OJ5NTPBR96b0YD6g5pepC7qY5dirpLE3b2Mnb3wzXCyXOWjvvNrVXQLqzrG4thvHU5uOyuU+glSZ&#10;5URRx8uZOVReJv/8SpK0f/3PUY9vefE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XznyfdkAAAAK&#10;AQAADwAAAAAAAAABACAAAAAiAAAAZHJzL2Rvd25yZXYueG1sUEsBAhQAFAAAAAgAh07iQDPzN6Ub&#10;AgAAEwQAAA4AAAAAAAAAAQAgAAAAKAEAAGRycy9lMm9Eb2MueG1sUEsFBgAAAAAGAAYAWQEAALUF&#10;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22102"/>
    <w:rsid w:val="006140F3"/>
    <w:rsid w:val="00AD3D4C"/>
    <w:rsid w:val="00C9672B"/>
    <w:rsid w:val="01176587"/>
    <w:rsid w:val="02875589"/>
    <w:rsid w:val="028B7A15"/>
    <w:rsid w:val="028E78D9"/>
    <w:rsid w:val="02955448"/>
    <w:rsid w:val="03791753"/>
    <w:rsid w:val="04DF38F9"/>
    <w:rsid w:val="05103D46"/>
    <w:rsid w:val="05C472CA"/>
    <w:rsid w:val="06CB0798"/>
    <w:rsid w:val="06FD2BAD"/>
    <w:rsid w:val="07AB4678"/>
    <w:rsid w:val="082638FD"/>
    <w:rsid w:val="08AE4AC4"/>
    <w:rsid w:val="094F3C47"/>
    <w:rsid w:val="0A8E796D"/>
    <w:rsid w:val="0AE64CA9"/>
    <w:rsid w:val="0B1962EF"/>
    <w:rsid w:val="0CA02447"/>
    <w:rsid w:val="0D30639B"/>
    <w:rsid w:val="0D7A61C7"/>
    <w:rsid w:val="0F161E93"/>
    <w:rsid w:val="0FAD4F87"/>
    <w:rsid w:val="10970552"/>
    <w:rsid w:val="10F52A1F"/>
    <w:rsid w:val="11847C41"/>
    <w:rsid w:val="11A87F54"/>
    <w:rsid w:val="13050238"/>
    <w:rsid w:val="13A51976"/>
    <w:rsid w:val="13C609E5"/>
    <w:rsid w:val="146855F8"/>
    <w:rsid w:val="1481490C"/>
    <w:rsid w:val="14B15150"/>
    <w:rsid w:val="14FC754F"/>
    <w:rsid w:val="15D13671"/>
    <w:rsid w:val="166B7621"/>
    <w:rsid w:val="16EA23FC"/>
    <w:rsid w:val="16EF3DAF"/>
    <w:rsid w:val="1761300B"/>
    <w:rsid w:val="18ED78E9"/>
    <w:rsid w:val="19263CD4"/>
    <w:rsid w:val="1A6A7F5C"/>
    <w:rsid w:val="1ABA46D4"/>
    <w:rsid w:val="1AD362FD"/>
    <w:rsid w:val="1BE22243"/>
    <w:rsid w:val="1D295B40"/>
    <w:rsid w:val="1D587F1D"/>
    <w:rsid w:val="1DA80E64"/>
    <w:rsid w:val="1E4C480D"/>
    <w:rsid w:val="1ECA25A5"/>
    <w:rsid w:val="1F38253A"/>
    <w:rsid w:val="1F460C2C"/>
    <w:rsid w:val="1F88134C"/>
    <w:rsid w:val="203171E6"/>
    <w:rsid w:val="206D21E8"/>
    <w:rsid w:val="20712D1C"/>
    <w:rsid w:val="207B66B3"/>
    <w:rsid w:val="212D181D"/>
    <w:rsid w:val="213A2852"/>
    <w:rsid w:val="21505D92"/>
    <w:rsid w:val="21BF6903"/>
    <w:rsid w:val="229C2E48"/>
    <w:rsid w:val="23356FED"/>
    <w:rsid w:val="25B35BEF"/>
    <w:rsid w:val="25FB159F"/>
    <w:rsid w:val="260C01FF"/>
    <w:rsid w:val="26435EC5"/>
    <w:rsid w:val="27C86B01"/>
    <w:rsid w:val="27C93C5B"/>
    <w:rsid w:val="284A7358"/>
    <w:rsid w:val="29810215"/>
    <w:rsid w:val="29CF6EDC"/>
    <w:rsid w:val="29F501FA"/>
    <w:rsid w:val="2BD001FB"/>
    <w:rsid w:val="2BEB5815"/>
    <w:rsid w:val="2C131E96"/>
    <w:rsid w:val="2CAB5921"/>
    <w:rsid w:val="2D770106"/>
    <w:rsid w:val="2DE47ADB"/>
    <w:rsid w:val="2DF47AA5"/>
    <w:rsid w:val="2FB92D54"/>
    <w:rsid w:val="30C53B9D"/>
    <w:rsid w:val="31932AE0"/>
    <w:rsid w:val="31B934DF"/>
    <w:rsid w:val="31D15648"/>
    <w:rsid w:val="31E32093"/>
    <w:rsid w:val="34DF2AE1"/>
    <w:rsid w:val="363503C3"/>
    <w:rsid w:val="369834B9"/>
    <w:rsid w:val="38341126"/>
    <w:rsid w:val="383C22C1"/>
    <w:rsid w:val="399F2FBB"/>
    <w:rsid w:val="3A633CA3"/>
    <w:rsid w:val="3A816B64"/>
    <w:rsid w:val="3A9B5175"/>
    <w:rsid w:val="3AA50AA5"/>
    <w:rsid w:val="3AFE1F63"/>
    <w:rsid w:val="3AFF709B"/>
    <w:rsid w:val="3BB65A9A"/>
    <w:rsid w:val="3BD01B51"/>
    <w:rsid w:val="3C3C71E7"/>
    <w:rsid w:val="3E2D45E8"/>
    <w:rsid w:val="3EB13EE7"/>
    <w:rsid w:val="3FA07A8C"/>
    <w:rsid w:val="42240442"/>
    <w:rsid w:val="42940188"/>
    <w:rsid w:val="42CD6DEA"/>
    <w:rsid w:val="43A91651"/>
    <w:rsid w:val="43CA2D4E"/>
    <w:rsid w:val="451F7017"/>
    <w:rsid w:val="47665118"/>
    <w:rsid w:val="48425B85"/>
    <w:rsid w:val="493554A7"/>
    <w:rsid w:val="49CB7DB2"/>
    <w:rsid w:val="4A57400C"/>
    <w:rsid w:val="4B130CFE"/>
    <w:rsid w:val="4BE9620F"/>
    <w:rsid w:val="4C066EC9"/>
    <w:rsid w:val="4C5C4D3B"/>
    <w:rsid w:val="4C66593E"/>
    <w:rsid w:val="4D697710"/>
    <w:rsid w:val="4D6B61C3"/>
    <w:rsid w:val="4E834801"/>
    <w:rsid w:val="4F2543C8"/>
    <w:rsid w:val="4FE237A9"/>
    <w:rsid w:val="50630D8E"/>
    <w:rsid w:val="50C86E43"/>
    <w:rsid w:val="52EC6E19"/>
    <w:rsid w:val="53A135AA"/>
    <w:rsid w:val="53B553AB"/>
    <w:rsid w:val="53C73FDF"/>
    <w:rsid w:val="53E45F87"/>
    <w:rsid w:val="54967133"/>
    <w:rsid w:val="553974CA"/>
    <w:rsid w:val="559A7A58"/>
    <w:rsid w:val="564C629A"/>
    <w:rsid w:val="57C00874"/>
    <w:rsid w:val="58ED7447"/>
    <w:rsid w:val="58F2185A"/>
    <w:rsid w:val="58FD230E"/>
    <w:rsid w:val="5A3F1F24"/>
    <w:rsid w:val="5A7D443D"/>
    <w:rsid w:val="5A8114F3"/>
    <w:rsid w:val="5AAB6114"/>
    <w:rsid w:val="5CEB1EEF"/>
    <w:rsid w:val="5D0015C9"/>
    <w:rsid w:val="5EB56232"/>
    <w:rsid w:val="5F1D035A"/>
    <w:rsid w:val="5F3B4290"/>
    <w:rsid w:val="5F3F37D7"/>
    <w:rsid w:val="601604BD"/>
    <w:rsid w:val="606326E4"/>
    <w:rsid w:val="60A712F0"/>
    <w:rsid w:val="61227F4C"/>
    <w:rsid w:val="61DD258E"/>
    <w:rsid w:val="64552344"/>
    <w:rsid w:val="651236AA"/>
    <w:rsid w:val="65C93E0E"/>
    <w:rsid w:val="667B27CF"/>
    <w:rsid w:val="67424E02"/>
    <w:rsid w:val="675B4115"/>
    <w:rsid w:val="67982C74"/>
    <w:rsid w:val="67B53825"/>
    <w:rsid w:val="68225702"/>
    <w:rsid w:val="68B727CB"/>
    <w:rsid w:val="699E337F"/>
    <w:rsid w:val="6C81017A"/>
    <w:rsid w:val="6C9C1458"/>
    <w:rsid w:val="6CBF69E7"/>
    <w:rsid w:val="6D9503B7"/>
    <w:rsid w:val="6E422959"/>
    <w:rsid w:val="6ED07197"/>
    <w:rsid w:val="6EF70BC7"/>
    <w:rsid w:val="6FCE431F"/>
    <w:rsid w:val="704852EA"/>
    <w:rsid w:val="70CD7E32"/>
    <w:rsid w:val="71076902"/>
    <w:rsid w:val="712302BB"/>
    <w:rsid w:val="72164E44"/>
    <w:rsid w:val="72A44843"/>
    <w:rsid w:val="74641089"/>
    <w:rsid w:val="74C67523"/>
    <w:rsid w:val="752E4C17"/>
    <w:rsid w:val="75DB4D9F"/>
    <w:rsid w:val="7692348F"/>
    <w:rsid w:val="77BC4BEA"/>
    <w:rsid w:val="784C141F"/>
    <w:rsid w:val="79137F02"/>
    <w:rsid w:val="791E4FA3"/>
    <w:rsid w:val="7AEA338E"/>
    <w:rsid w:val="7B226FCC"/>
    <w:rsid w:val="7B303712"/>
    <w:rsid w:val="7C016BE2"/>
    <w:rsid w:val="7CC55E61"/>
    <w:rsid w:val="7D891E39"/>
    <w:rsid w:val="7D8F1D00"/>
    <w:rsid w:val="7D95108A"/>
    <w:rsid w:val="7DA34DF2"/>
    <w:rsid w:val="7DC12ACC"/>
    <w:rsid w:val="7E2453C6"/>
    <w:rsid w:val="7EB7005B"/>
    <w:rsid w:val="7F08297D"/>
    <w:rsid w:val="7F395B8B"/>
    <w:rsid w:val="7FA05E91"/>
    <w:rsid w:val="7FFC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widowControl w:val="0"/>
      <w:ind w:firstLine="42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index 6"/>
    <w:basedOn w:val="1"/>
    <w:next w:val="1"/>
    <w:qFormat/>
    <w:uiPriority w:val="0"/>
    <w:pPr>
      <w:widowControl w:val="0"/>
      <w:ind w:left="210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qFormat/>
    <w:uiPriority w:val="0"/>
    <w:rPr>
      <w:rFonts w:ascii="Arial" w:hAnsi="Arial" w:cs="Arial"/>
      <w:color w:val="333333"/>
      <w:u w:val="none"/>
    </w:rPr>
  </w:style>
  <w:style w:type="character" w:styleId="11">
    <w:name w:val="Hyperlink"/>
    <w:basedOn w:val="8"/>
    <w:qFormat/>
    <w:uiPriority w:val="0"/>
    <w:rPr>
      <w:rFonts w:hint="default" w:ascii="Arial" w:hAnsi="Arial" w:cs="Arial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GR</cp:lastModifiedBy>
  <cp:lastPrinted>2022-03-11T07:25:00Z</cp:lastPrinted>
  <dcterms:modified xsi:type="dcterms:W3CDTF">2022-03-30T02:23:28Z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17975376A59E4FFF96DB9B129B8E7E30</vt:lpwstr>
  </property>
</Properties>
</file>